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40" w:line="240"/>
        <w:ind w:right="450" w:left="0" w:firstLine="0"/>
        <w:jc w:val="left"/>
        <w:rPr>
          <w:rFonts w:ascii="Arial" w:hAnsi="Arial" w:cs="Arial" w:eastAsia="Arial"/>
          <w:color w:val="auto"/>
          <w:spacing w:val="0"/>
          <w:position w:val="0"/>
          <w:sz w:val="28"/>
          <w:shd w:fill="auto" w:val="clear"/>
        </w:rPr>
      </w:pPr>
    </w:p>
    <w:p>
      <w:pPr>
        <w:spacing w:before="0" w:after="240" w:line="240"/>
        <w:ind w:right="45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Statement of environmental effects </w:t>
      </w:r>
    </w:p>
    <w:p>
      <w:pPr>
        <w:spacing w:before="0" w:after="240" w:line="240"/>
        <w:ind w:right="45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49 Broughton St TUMUT</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development proposed is a single residential dwelling consisting of two interconnected roundhouses. The development is single story on one level, from ground level at the south streetscape elevation to almost a metre above ground at the rear. See attached architectural sections.</w:t>
      </w:r>
    </w:p>
    <w:p>
      <w:pPr>
        <w:spacing w:before="240" w:after="240" w:line="240"/>
        <w:ind w:right="45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Specific to requirements as setout in DCP 2024 3.0</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Vehicular access is via the existing crossover to Broughton St with 2 car parking spaces behind the building line and a turning space in front, as per Site Plan.</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development site is not classified as bush fire prone.</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There is minimal environmental impact to the existing site as there is no cut and fill required with the structure raised on pier foundations. Excavated soil from pier foundations will be used for limited leveling purposes only.</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All construction vehicular access will be along the eastern boundary. The dwelling is more than 10m from the lots urban stormwater channel and with limited earthworks there is not expected to be any run off or building waste effects.</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development site is not in a flood prone zone. However, as there is a significant urban stormwater channel running through the site, the development is situated away from any regular flow and built above ground with a floor level well above any expected high stormwater flow.</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development site is not within a heritage protected zone.</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development is constrained to the SE third of the block with the majority of the remaining lot to be landscaped to enhance the existing contours and vegetation. Large areas are to be planted out with majority native trees and shrubs. Some deciduous trees will be planted nearer the dwelling to provide shade in the summer but allow winter sun. Produce trees are proposed for the high ground in the NW corner of the Lot. The storm water stream itself will be fortified through native plantings including Cassurinna and grasses. Some low-level ,&lt;500mm, retaining walls are to be installed to redirect any high flow events. This work has already begun. </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Council water and wastewater has already been extended to the northern boundary. The development has been designed to ensure sufficient flow of wastewater to the council sewerage system without the need for a pump. Water use will be from collected stormwater to the laundry and landscape and from the council mains for all other purposes. The site has been connected to the grid and electricity supplied to the existing shed, and will be utilised for the development. Solar panels are proposed as a supplementary future addition. Driveway access will be via the existing gutter crossover and run to the eastern side of the dwelling.</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Stormwater collected from the built structure will be directed to water tanks and any overflow discharged to a shallow rivulet leading to the existing SW stream. This open rivulet will act as a natural filter before the runoff flows through plantings before entering the urban watercourse.See attached landscape plan.</w:t>
      </w:r>
    </w:p>
    <w:p>
      <w:pPr>
        <w:spacing w:before="240" w:after="240" w:line="240"/>
        <w:ind w:right="45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Specific to requirements as setout in DCP 2024 4.0</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development has a BASIX certificate and will be specifically focused on water efficient native planting, collection and reuse of stormwater and no lawn areas. Low maintenance native forest is the long-term goal for areas bordering the SW watercourse to both improve the visual appeal of a neglected site, and to manage erosion and runoff.</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dwelling itself is unique in plan to the area but the street profile, colours and external finishes are in keeping with both immediate neighbours and the town. Natural and neutral tones will be applied to all structures. Bluegum matt colourbond roof and lower walls, Basalt matt Colourbond gutters, and Weathertex Selflok Ecogroove Natural 150mm upper walls. Window frames in wet areas aluminium framed Basalt matt, living area windows natural cedar.</w:t>
      </w:r>
    </w:p>
    <w:p>
      <w:pPr>
        <w:spacing w:before="240" w:after="240" w:line="240"/>
        <w:ind w:right="450" w:left="0" w:firstLine="0"/>
        <w:jc w:val="left"/>
        <w:rPr>
          <w:rFonts w:ascii="Arial" w:hAnsi="Arial" w:cs="Arial" w:eastAsia="Arial"/>
          <w:color w:val="auto"/>
          <w:spacing w:val="0"/>
          <w:position w:val="0"/>
          <w:sz w:val="24"/>
          <w:shd w:fill="auto" w:val="clear"/>
        </w:rPr>
      </w:pPr>
      <w:r>
        <w:object w:dxaOrig="2027" w:dyaOrig="2397">
          <v:rect xmlns:o="urn:schemas-microsoft-com:office:office" xmlns:v="urn:schemas-microsoft-com:vml" id="rectole0000000000" style="width:101.350000pt;height:119.8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Arial" w:hAnsi="Arial" w:cs="Arial" w:eastAsia="Arial"/>
          <w:color w:val="auto"/>
          <w:spacing w:val="0"/>
          <w:position w:val="0"/>
          <w:sz w:val="24"/>
          <w:shd w:fill="auto" w:val="clear"/>
        </w:rPr>
        <w:t xml:space="preserve"> </w:t>
      </w:r>
      <w:r>
        <w:object w:dxaOrig="1221" w:dyaOrig="1646">
          <v:rect xmlns:o="urn:schemas-microsoft-com:office:office" xmlns:v="urn:schemas-microsoft-com:vml" id="rectole0000000001" style="width:61.050000pt;height:82.3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object w:dxaOrig="2036" w:dyaOrig="1862">
          <v:rect xmlns:o="urn:schemas-microsoft-com:office:office" xmlns:v="urn:schemas-microsoft-com:vml" id="rectole0000000002" style="width:101.800000pt;height:93.1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All proposed structures are sited within required setbacks with the front street-facing building inline with the eastern neighbour, 6m from the front boundary. All structures are setback more than 2m from the eastern side boundary. Building heights are less than maximum allowed as indicated by the attached elevations.</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No carports or garages are planned to be constructed.</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visual impact of the development on the streetscape is intended to be soft and complimentary. A low front building facade, with extensive native planting and low post and rail fencing beyond the front boundary. The proposal aims to enhance and beautify a neglected urban site, to utilise the existing features of the block and to provide a unique and visually unique building to the urban landscape. This is particularly important as the block borders an early learning center to the west.</w:t>
      </w:r>
    </w:p>
    <w:p>
      <w:pPr>
        <w:spacing w:before="240" w:after="240" w:line="240"/>
        <w:ind w:right="45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following is a dwelling similar to that proposed.</w:t>
      </w:r>
    </w:p>
    <w:p>
      <w:pPr>
        <w:spacing w:before="240" w:after="240" w:line="240"/>
        <w:ind w:right="450" w:left="0" w:firstLine="0"/>
        <w:jc w:val="left"/>
        <w:rPr>
          <w:rFonts w:ascii="Arial" w:hAnsi="Arial" w:cs="Arial" w:eastAsia="Arial"/>
          <w:color w:val="auto"/>
          <w:spacing w:val="0"/>
          <w:position w:val="0"/>
          <w:sz w:val="22"/>
          <w:shd w:fill="auto" w:val="clear"/>
        </w:rPr>
      </w:pPr>
      <w:r>
        <w:object w:dxaOrig="5248" w:dyaOrig="3468">
          <v:rect xmlns:o="urn:schemas-microsoft-com:office:office" xmlns:v="urn:schemas-microsoft-com:vml" id="rectole0000000003" style="width:262.400000pt;height:173.4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240" w:after="240" w:line="240"/>
        <w:ind w:right="450" w:left="0" w:firstLine="0"/>
        <w:jc w:val="left"/>
        <w:rPr>
          <w:rFonts w:ascii="Arial" w:hAnsi="Arial" w:cs="Arial" w:eastAsia="Arial"/>
          <w:color w:val="auto"/>
          <w:spacing w:val="0"/>
          <w:position w:val="0"/>
          <w:sz w:val="22"/>
          <w:shd w:fill="auto" w:val="clear"/>
        </w:rPr>
      </w:pPr>
    </w:p>
    <w:p>
      <w:pPr>
        <w:spacing w:before="0" w:after="0" w:line="276"/>
        <w:ind w:right="0" w:left="0" w:firstLine="0"/>
        <w:jc w:val="left"/>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3" Type="http://schemas.openxmlformats.org/officeDocument/2006/relationships/image" /><Relationship Target="media/image3.wmf" Id="docRId7" Type="http://schemas.openxmlformats.org/officeDocument/2006/relationships/image"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embeddings/oleObject3.bin" Id="docRId6" Type="http://schemas.openxmlformats.org/officeDocument/2006/relationships/oleObject" /><Relationship Target="numbering.xml" Id="docRId8" Type="http://schemas.openxmlformats.org/officeDocument/2006/relationships/numbering" /><Relationship Target="media/image0.wmf" Id="docRId1" Type="http://schemas.openxmlformats.org/officeDocument/2006/relationships/image" /><Relationship Target="media/image2.wmf" Id="docRId5" Type="http://schemas.openxmlformats.org/officeDocument/2006/relationships/image" /><Relationship Target="styles.xml" Id="docRId9" Type="http://schemas.openxmlformats.org/officeDocument/2006/relationships/styles" /></Relationships>
</file>